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1EEF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20" w:afterLines="50" w:line="60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  <w:bookmarkStart w:id="0" w:name="_Toc1076434989"/>
      <w:bookmarkStart w:id="1" w:name="_Toc7263"/>
      <w:bookmarkStart w:id="2" w:name="_Toc21228"/>
      <w:bookmarkStart w:id="3" w:name="_Toc1448846943"/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基本规章制度编制要点</w:t>
      </w:r>
      <w:bookmarkEnd w:id="0"/>
      <w:bookmarkEnd w:id="1"/>
      <w:bookmarkEnd w:id="2"/>
      <w:bookmarkEnd w:id="3"/>
    </w:p>
    <w:p w14:paraId="11969A3D">
      <w:pPr>
        <w:spacing w:line="6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一、编制依据</w:t>
      </w:r>
    </w:p>
    <w:p w14:paraId="4CFC297F">
      <w:pPr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</w:rPr>
        <w:t>1、《放射性同位素与射线装置安全和防护条例》</w:t>
      </w:r>
    </w:p>
    <w:p w14:paraId="7472A513">
      <w:pPr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</w:rPr>
        <w:t>2、《放射性同位素与射线装置安全许可管理办法》</w:t>
      </w:r>
    </w:p>
    <w:p w14:paraId="1C10092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3、《放射性同位素与射线装置安全和防护管理办法》</w:t>
      </w:r>
    </w:p>
    <w:p w14:paraId="1512A732">
      <w:pPr>
        <w:ind w:firstLine="640" w:firstLineChars="200"/>
        <w:rPr>
          <w:rFonts w:hint="eastAsia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4、《国家核技术利用辐射安全管理系统管理规定》</w:t>
      </w:r>
    </w:p>
    <w:p w14:paraId="0476DD55">
      <w:pPr>
        <w:spacing w:line="600" w:lineRule="exact"/>
        <w:ind w:firstLine="57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二、编制要求</w:t>
      </w:r>
    </w:p>
    <w:p w14:paraId="0EA13FFD">
      <w:pPr>
        <w:spacing w:line="600" w:lineRule="exact"/>
        <w:ind w:firstLine="57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1、核技术利用单位应制定符合单位实际的操作规程、岗位职责、辐射防护和安全保卫制度、设备检修维护制度、放射性同位素或射线装置使用登记和台账管理制度、人员培训考核制度、监测方案等。产生放射性废气、废液、固体废物的，还应具有确保放射性废气、废液、固体废物达标排放的处理能力或者可行的处理方案。</w:t>
      </w:r>
    </w:p>
    <w:p w14:paraId="0B4DC7A1">
      <w:pPr>
        <w:spacing w:line="600" w:lineRule="exact"/>
        <w:ind w:firstLine="57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2、首次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申请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时制定所有不同类型的设备或装置的操作规程，所有涉及辐射安全的岗位职责等制度，重新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申请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时只需制定新增设备或装置的操作规程，新增岗位的岗位职责等制度。改变原发证机关的按照首次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申请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要求提交。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未按照时限办理延续申请的，提交首次申请和延续资料。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基本规章制度原则上每五年重新修订一次。</w:t>
      </w:r>
    </w:p>
    <w:p w14:paraId="4B502647">
      <w:pPr>
        <w:spacing w:line="600" w:lineRule="exact"/>
        <w:ind w:firstLine="57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三、编制要点</w:t>
      </w:r>
    </w:p>
    <w:p w14:paraId="57FA6A93">
      <w:pPr>
        <w:spacing w:line="600" w:lineRule="exact"/>
        <w:ind w:firstLine="570"/>
        <w:rPr>
          <w:rFonts w:hint="eastAsia" w:ascii="楷体_GB2312" w:hAnsi="楷体_GB2312" w:eastAsia="楷体_GB2312" w:cs="楷体_GB2312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</w:rPr>
        <w:t>1、操作规程</w:t>
      </w:r>
    </w:p>
    <w:p w14:paraId="2DE7013F">
      <w:pPr>
        <w:spacing w:line="600" w:lineRule="exact"/>
        <w:ind w:firstLine="570"/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1.1</w:t>
      </w:r>
      <w:r>
        <w:rPr>
          <w:rFonts w:hint="eastAsia" w:ascii="仿宋_GB2312" w:eastAsia="仿宋_GB2312"/>
          <w:sz w:val="32"/>
          <w:szCs w:val="32"/>
        </w:rPr>
        <w:t>按照本单位实际情况，分别制定放射源、非密封性放射性物质、射线装置的操作规程。</w:t>
      </w:r>
    </w:p>
    <w:p w14:paraId="77B3B63F">
      <w:pPr>
        <w:spacing w:line="600" w:lineRule="exact"/>
        <w:ind w:firstLine="57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1.2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标题为“xx操作规程”,不同类型的设备或装置制定的操作规程不同。</w:t>
      </w:r>
    </w:p>
    <w:p w14:paraId="0E1B6557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</w:rPr>
        <w:t>2、岗位职责</w:t>
      </w:r>
    </w:p>
    <w:p w14:paraId="1E160E9B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2.1</w:t>
      </w:r>
      <w:r>
        <w:rPr>
          <w:rFonts w:hint="eastAsia" w:ascii="仿宋_GB2312" w:eastAsia="仿宋_GB2312"/>
          <w:sz w:val="32"/>
          <w:szCs w:val="32"/>
        </w:rPr>
        <w:t>结合辐射安全与环境保护管理机构成立文件，制定详细的岗位职责，进一步明确</w:t>
      </w:r>
      <w:r>
        <w:rPr>
          <w:rFonts w:hint="eastAsia" w:ascii="仿宋_GB2312" w:eastAsia="仿宋_GB2312"/>
          <w:bCs/>
          <w:sz w:val="32"/>
          <w:szCs w:val="32"/>
        </w:rPr>
        <w:t>具体责任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5F976A5D">
      <w:pPr>
        <w:spacing w:line="60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2.2</w:t>
      </w:r>
      <w:r>
        <w:rPr>
          <w:rFonts w:hint="eastAsia" w:ascii="仿宋_GB2312" w:eastAsia="仿宋_GB2312"/>
          <w:sz w:val="32"/>
          <w:szCs w:val="32"/>
        </w:rPr>
        <w:t>标题为“xx岗位职责”，不同的岗位制定的岗位职责不同</w:t>
      </w:r>
      <w:r>
        <w:rPr>
          <w:rFonts w:hint="eastAsia" w:ascii="仿宋_GB2312" w:eastAsia="仿宋_GB2312"/>
          <w:bCs/>
          <w:sz w:val="32"/>
          <w:szCs w:val="32"/>
        </w:rPr>
        <w:t>。</w:t>
      </w:r>
    </w:p>
    <w:p w14:paraId="148915F0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</w:rPr>
        <w:t>3、辐射防护和安全保卫制度</w:t>
      </w:r>
    </w:p>
    <w:p w14:paraId="61439694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华文楷体" w:eastAsia="仿宋_GB2312"/>
          <w:b/>
          <w:bCs/>
          <w:sz w:val="32"/>
          <w:szCs w:val="32"/>
        </w:rPr>
        <w:t>3.1</w:t>
      </w:r>
      <w:r>
        <w:rPr>
          <w:rFonts w:hint="eastAsia" w:ascii="仿宋_GB2312" w:hAnsi="华文楷体" w:eastAsia="仿宋_GB2312"/>
          <w:sz w:val="32"/>
          <w:szCs w:val="32"/>
        </w:rPr>
        <w:t>应明确辐射工作人员和辐射活动场所的安全和防护要求。</w:t>
      </w:r>
    </w:p>
    <w:p w14:paraId="2A1E7C27">
      <w:pPr>
        <w:spacing w:line="600" w:lineRule="exact"/>
        <w:ind w:firstLine="643" w:firstLineChars="200"/>
        <w:rPr>
          <w:rFonts w:hint="eastAsia" w:ascii="仿宋_GB2312" w:hAnsi="华文楷体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3.2</w:t>
      </w:r>
      <w:r>
        <w:rPr>
          <w:rFonts w:hint="eastAsia" w:ascii="仿宋_GB2312" w:hAnsi="华文楷体" w:eastAsia="仿宋_GB2312"/>
          <w:sz w:val="32"/>
          <w:szCs w:val="32"/>
        </w:rPr>
        <w:t>辐射工作人员安全和防护应包括监测仪器、防护用品佩戴使用的要求。</w:t>
      </w:r>
    </w:p>
    <w:p w14:paraId="15864E32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华文楷体" w:eastAsia="仿宋_GB2312"/>
          <w:b/>
          <w:bCs/>
          <w:sz w:val="32"/>
          <w:szCs w:val="32"/>
        </w:rPr>
        <w:t>3.3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辐射活动场所的</w:t>
      </w:r>
      <w:r>
        <w:rPr>
          <w:rFonts w:hint="eastAsia" w:ascii="仿宋_GB2312" w:hAnsi="华文楷体" w:eastAsia="仿宋_GB2312"/>
          <w:sz w:val="32"/>
          <w:szCs w:val="32"/>
        </w:rPr>
        <w:t>安全和防护应包括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辐射防护门窗、安全联锁装置、监控报警设施、工作指示信号、电离辐射警示标志等设施设备配置使用的要求。</w:t>
      </w:r>
    </w:p>
    <w:p w14:paraId="5BB144DF">
      <w:pPr>
        <w:spacing w:line="600" w:lineRule="exact"/>
        <w:ind w:firstLine="643" w:firstLineChars="200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3.4</w:t>
      </w:r>
      <w:r>
        <w:rPr>
          <w:rFonts w:hint="eastAsia" w:ascii="仿宋_GB2312" w:hAnsi="华文楷体" w:eastAsia="仿宋_GB2312"/>
          <w:sz w:val="32"/>
          <w:szCs w:val="32"/>
        </w:rPr>
        <w:t>安全和防护</w:t>
      </w:r>
      <w:r>
        <w:rPr>
          <w:rFonts w:hint="eastAsia" w:ascii="仿宋_GB2312" w:eastAsia="仿宋_GB2312"/>
          <w:sz w:val="32"/>
          <w:szCs w:val="32"/>
        </w:rPr>
        <w:t>要求应具体化，有可操作性，应明确责任科室（或部门）、资金预算等。</w:t>
      </w:r>
    </w:p>
    <w:p w14:paraId="6BFCFE2C">
      <w:pPr>
        <w:spacing w:line="600" w:lineRule="exact"/>
        <w:ind w:firstLine="640" w:firstLineChars="200"/>
        <w:jc w:val="left"/>
        <w:rPr>
          <w:rFonts w:hint="eastAsia" w:ascii="楷体_GB2312" w:hAnsi="楷体_GB2312" w:eastAsia="楷体_GB2312" w:cs="楷体_GB2312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</w:rPr>
        <w:t>4、设备检修维护制度</w:t>
      </w:r>
    </w:p>
    <w:p w14:paraId="79D9000F">
      <w:pPr>
        <w:spacing w:line="600" w:lineRule="exact"/>
        <w:ind w:firstLine="643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4.1</w:t>
      </w:r>
      <w:r>
        <w:rPr>
          <w:rFonts w:hint="eastAsia" w:ascii="仿宋_GB2312" w:eastAsia="仿宋_GB2312"/>
          <w:sz w:val="32"/>
          <w:szCs w:val="32"/>
        </w:rPr>
        <w:t xml:space="preserve">应明确设备检修维护的流程、要求、方法、内容、防护措施等要求。 </w:t>
      </w:r>
    </w:p>
    <w:p w14:paraId="1FA4306E">
      <w:pPr>
        <w:spacing w:line="600" w:lineRule="exact"/>
        <w:ind w:firstLine="643" w:firstLineChars="200"/>
        <w:jc w:val="left"/>
        <w:rPr>
          <w:rFonts w:hint="eastAsia" w:ascii="仿宋_GB2312" w:eastAsia="仿宋_GB2312"/>
          <w:color w:val="FF0000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4.2</w:t>
      </w:r>
      <w:r>
        <w:rPr>
          <w:rFonts w:hint="eastAsia" w:ascii="仿宋_GB2312" w:eastAsia="仿宋_GB2312"/>
          <w:sz w:val="32"/>
          <w:szCs w:val="32"/>
        </w:rPr>
        <w:t>应明确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所有辐射活动场所的辐射防护门窗、安全联锁装置、监控报警设施、工作指示信号、电离辐射警示标志、监测防护仪器和个人防护用品等辐射防护设施的运行维护、故障维修、日常检修要求。</w:t>
      </w:r>
    </w:p>
    <w:p w14:paraId="0DA1E7B6">
      <w:pPr>
        <w:spacing w:line="600" w:lineRule="exact"/>
        <w:ind w:firstLine="643" w:firstLineChars="200"/>
        <w:jc w:val="left"/>
        <w:rPr>
          <w:rFonts w:hint="eastAsia" w:ascii="仿宋_GB2312" w:eastAsia="仿宋_GB2312"/>
          <w:color w:val="FF0000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4.3</w:t>
      </w:r>
      <w:r>
        <w:rPr>
          <w:rFonts w:hint="eastAsia" w:ascii="仿宋_GB2312" w:eastAsia="仿宋_GB2312"/>
          <w:sz w:val="32"/>
          <w:szCs w:val="32"/>
        </w:rPr>
        <w:t>制度应具体化，有可操作性，明确责任科室或部门、检修维护周期、资金预算等。</w:t>
      </w:r>
    </w:p>
    <w:p w14:paraId="70F0EF45">
      <w:pPr>
        <w:spacing w:line="60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5、放射性同位素或射线装置使用登记和台账管理制度</w:t>
      </w:r>
    </w:p>
    <w:p w14:paraId="1751CFF2">
      <w:pPr>
        <w:spacing w:line="600" w:lineRule="exact"/>
        <w:ind w:firstLine="643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5.1</w:t>
      </w:r>
      <w:r>
        <w:rPr>
          <w:rFonts w:hint="eastAsia" w:ascii="仿宋_GB2312" w:eastAsia="仿宋_GB2312"/>
          <w:sz w:val="32"/>
          <w:szCs w:val="32"/>
        </w:rPr>
        <w:t>使用放射源、非密封放射性物质、射线装置的单位应</w:t>
      </w:r>
      <w:r>
        <w:rPr>
          <w:rFonts w:ascii="仿宋_GB2312" w:eastAsia="仿宋_GB2312"/>
          <w:sz w:val="32"/>
          <w:szCs w:val="32"/>
        </w:rPr>
        <w:t>按照</w:t>
      </w:r>
      <w:r>
        <w:rPr>
          <w:rFonts w:hint="eastAsia" w:ascii="仿宋_GB2312" w:eastAsia="仿宋_GB2312"/>
          <w:sz w:val="32"/>
          <w:szCs w:val="32"/>
        </w:rPr>
        <w:t>本单位</w:t>
      </w:r>
      <w:r>
        <w:rPr>
          <w:rFonts w:ascii="仿宋_GB2312" w:eastAsia="仿宋_GB2312"/>
          <w:sz w:val="32"/>
          <w:szCs w:val="32"/>
        </w:rPr>
        <w:t>实际情况</w:t>
      </w:r>
      <w:r>
        <w:rPr>
          <w:rFonts w:hint="eastAsia" w:ascii="仿宋_GB2312" w:eastAsia="仿宋_GB2312"/>
          <w:sz w:val="32"/>
          <w:szCs w:val="32"/>
        </w:rPr>
        <w:t>，分别制定使用登记和台账管理制度。</w:t>
      </w:r>
    </w:p>
    <w:p w14:paraId="599DBD6C">
      <w:pPr>
        <w:spacing w:line="600" w:lineRule="exact"/>
        <w:ind w:firstLine="643" w:firstLineChars="200"/>
        <w:jc w:val="left"/>
        <w:rPr>
          <w:rFonts w:hint="eastAsia" w:ascii="仿宋_GB2312" w:eastAsia="仿宋_GB2312"/>
          <w:color w:val="FF0000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5.2</w:t>
      </w:r>
      <w:r>
        <w:rPr>
          <w:rFonts w:hint="eastAsia" w:ascii="仿宋_GB2312" w:eastAsia="仿宋_GB2312"/>
          <w:sz w:val="32"/>
          <w:szCs w:val="32"/>
        </w:rPr>
        <w:t>使用登记制度应明确责任科室（或部门）、登记流程、记录管理要求，明确使用时间、地点、人员、联系方式、责任人等信息要素报备要求。</w:t>
      </w:r>
    </w:p>
    <w:p w14:paraId="41E7804B">
      <w:pPr>
        <w:spacing w:line="600" w:lineRule="exact"/>
        <w:ind w:firstLine="643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5.3</w:t>
      </w:r>
      <w:r>
        <w:rPr>
          <w:rFonts w:hint="eastAsia" w:ascii="仿宋_GB2312" w:eastAsia="仿宋_GB2312"/>
          <w:sz w:val="32"/>
          <w:szCs w:val="32"/>
        </w:rPr>
        <w:t>台帐管理制度应明确台账填写、审核保管的要求，应结合全国核技术利用辐射安全申报系统进行修订。</w:t>
      </w:r>
    </w:p>
    <w:p w14:paraId="1EB408F8">
      <w:pPr>
        <w:spacing w:line="600" w:lineRule="exact"/>
        <w:ind w:firstLine="643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5.4</w:t>
      </w:r>
      <w:r>
        <w:rPr>
          <w:rFonts w:hint="eastAsia" w:ascii="仿宋_GB2312" w:eastAsia="仿宋_GB2312"/>
          <w:sz w:val="32"/>
          <w:szCs w:val="32"/>
        </w:rPr>
        <w:t>台帐管理制度应明确责任科室（或部门）、监测仪器、防护用品、辐射工作人员、放射性同位素、射线装置（包括新增或报废设备）、个人剂量检测记录、日常监测等台账的管理要求。</w:t>
      </w:r>
    </w:p>
    <w:p w14:paraId="2FFB29C7">
      <w:pPr>
        <w:spacing w:line="600" w:lineRule="exact"/>
        <w:ind w:firstLine="643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5.5</w:t>
      </w:r>
      <w:r>
        <w:rPr>
          <w:rFonts w:hint="eastAsia" w:ascii="仿宋_GB2312" w:eastAsia="仿宋_GB2312"/>
          <w:sz w:val="32"/>
          <w:szCs w:val="32"/>
        </w:rPr>
        <w:t>使用登记和台账管理制度应有可操作性。</w:t>
      </w:r>
    </w:p>
    <w:p w14:paraId="21C2073F">
      <w:pPr>
        <w:spacing w:line="600" w:lineRule="exact"/>
        <w:ind w:firstLine="640" w:firstLineChars="200"/>
        <w:jc w:val="left"/>
        <w:rPr>
          <w:rFonts w:hint="eastAsia" w:ascii="楷体_GB2312" w:hAnsi="楷体_GB2312" w:eastAsia="楷体_GB2312" w:cs="楷体_GB2312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6、</w:t>
      </w:r>
      <w:r>
        <w:rPr>
          <w:rFonts w:hint="eastAsia" w:ascii="楷体_GB2312" w:hAnsi="楷体_GB2312" w:eastAsia="楷体_GB2312" w:cs="楷体_GB2312"/>
          <w:bCs/>
          <w:sz w:val="32"/>
          <w:szCs w:val="32"/>
        </w:rPr>
        <w:t>人员培训考核制度</w:t>
      </w:r>
    </w:p>
    <w:p w14:paraId="48C4D073">
      <w:pPr>
        <w:spacing w:line="600" w:lineRule="exact"/>
        <w:ind w:firstLine="57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6.1</w:t>
      </w:r>
      <w:r>
        <w:rPr>
          <w:rFonts w:hint="eastAsia" w:ascii="仿宋_GB2312" w:eastAsia="仿宋_GB2312"/>
          <w:sz w:val="32"/>
          <w:szCs w:val="32"/>
        </w:rPr>
        <w:t>应明确培训依据、目的、责任部门、培训范围、培训内容、培训方式、频次及档案材料保管要求等。</w:t>
      </w:r>
    </w:p>
    <w:p w14:paraId="6D9E0436">
      <w:pPr>
        <w:spacing w:line="600" w:lineRule="exact"/>
        <w:ind w:firstLine="643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6.2</w:t>
      </w:r>
      <w:r>
        <w:rPr>
          <w:rFonts w:hint="eastAsia" w:ascii="仿宋_GB2312" w:eastAsia="仿宋_GB2312"/>
          <w:sz w:val="32"/>
          <w:szCs w:val="32"/>
        </w:rPr>
        <w:t>应明确考核依据、目的、责任部门、考核范围、考核方式、频次、档案材料保管、无证或过期人员管理要求等。</w:t>
      </w:r>
    </w:p>
    <w:p w14:paraId="4920BB85">
      <w:pPr>
        <w:spacing w:line="600" w:lineRule="exact"/>
        <w:ind w:firstLine="643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6.3</w:t>
      </w:r>
      <w:r>
        <w:rPr>
          <w:rFonts w:hint="eastAsia" w:ascii="仿宋_GB2312" w:eastAsia="仿宋_GB2312"/>
          <w:sz w:val="32"/>
          <w:szCs w:val="32"/>
        </w:rPr>
        <w:t>培训应由核技术利用单位自行或委托第三方组织开展，培训范围包括辐射安全管理人员和辐射工作人员，应明确培训涉及部门和岗位，培训内容应包括所有辐射工作岗位涉及的相关防护知识，培训内容应与辐射工作人员日常从事工作有较强关联性。</w:t>
      </w:r>
    </w:p>
    <w:p w14:paraId="5AF4991E">
      <w:pPr>
        <w:spacing w:line="60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6.4</w:t>
      </w:r>
      <w:r>
        <w:rPr>
          <w:rFonts w:hint="eastAsia" w:ascii="仿宋_GB2312" w:eastAsia="仿宋_GB2312"/>
          <w:sz w:val="32"/>
          <w:szCs w:val="32"/>
        </w:rPr>
        <w:t>考核分为自主考核和集中考核，考核范围应明确到具体部门和岗位。仅从事Ⅲ类射线装置销售、使用活动的辐射工作人员无需参加集中考核，由核技术利用单位自行组织考核。已参加集中考核并取得成绩报告单的，原成绩报告单继续有效。自行考核结果有效期五年，有效期届满的，应当由核技术利用单位组织再考核。自主考核题目应与参加考核人员日常从事工作有较强关联性。</w:t>
      </w:r>
    </w:p>
    <w:p w14:paraId="338996D7">
      <w:pPr>
        <w:spacing w:line="600" w:lineRule="exact"/>
        <w:ind w:firstLine="643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6.5</w:t>
      </w:r>
      <w:r>
        <w:rPr>
          <w:rFonts w:hint="eastAsia" w:ascii="仿宋_GB2312" w:eastAsia="仿宋_GB2312"/>
          <w:sz w:val="32"/>
          <w:szCs w:val="32"/>
        </w:rPr>
        <w:t>除仅从事Ⅲ类射线装置辐射活动的核技术利用单位外，其他单位辐射安全管理人员和工作人员必须参加集中考核，应持有</w:t>
      </w:r>
      <w:r>
        <w:rPr>
          <w:rFonts w:ascii="仿宋_GB2312" w:eastAsia="仿宋_GB2312"/>
          <w:sz w:val="32"/>
          <w:szCs w:val="32"/>
        </w:rPr>
        <w:t>辐射安全与防护培训合格证书</w:t>
      </w:r>
      <w:r>
        <w:rPr>
          <w:rFonts w:hint="eastAsia" w:ascii="仿宋_GB2312" w:eastAsia="仿宋_GB2312"/>
          <w:sz w:val="32"/>
          <w:szCs w:val="32"/>
        </w:rPr>
        <w:t>方可上岗。</w:t>
      </w:r>
    </w:p>
    <w:p w14:paraId="35A7A5A0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</w:rPr>
        <w:t>7、监测方案</w:t>
      </w:r>
    </w:p>
    <w:p w14:paraId="665873FE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7.1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监测方案应按照职业性外照射个人监测规范（GBZ128—2019）和辐射环境监测技术规范（HJ61—2021）要求进行编制，包括但不限于以下内容。</w:t>
      </w:r>
    </w:p>
    <w:p w14:paraId="1EDF7B29">
      <w:pPr>
        <w:spacing w:line="600" w:lineRule="exact"/>
        <w:ind w:firstLine="643" w:firstLineChars="200"/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7.2</w:t>
      </w:r>
      <w:r>
        <w:rPr>
          <w:rFonts w:hint="eastAsia" w:ascii="仿宋_GB2312" w:eastAsia="仿宋_GB2312"/>
          <w:bCs/>
          <w:sz w:val="32"/>
          <w:szCs w:val="32"/>
        </w:rPr>
        <w:t>个人剂量监测方案应明确监测依据、监测对象、监测因子、监测方法、佩戴要求、监测机构、责任部门、监测周期、异常管理、档案管理、申报系统维护要求等。</w:t>
      </w:r>
      <w:r>
        <w:rPr>
          <w:rFonts w:hint="eastAsia" w:ascii="仿宋_GB2312" w:eastAsia="仿宋_GB2312"/>
          <w:sz w:val="32"/>
          <w:szCs w:val="32"/>
        </w:rPr>
        <w:t>辐射场所监测方案</w:t>
      </w:r>
      <w:r>
        <w:rPr>
          <w:rFonts w:hint="eastAsia" w:ascii="仿宋_GB2312" w:eastAsia="仿宋_GB2312"/>
          <w:bCs/>
          <w:sz w:val="32"/>
          <w:szCs w:val="32"/>
        </w:rPr>
        <w:t>应明确监测</w:t>
      </w:r>
      <w:r>
        <w:rPr>
          <w:rFonts w:hint="eastAsia" w:ascii="仿宋_GB2312" w:eastAsia="仿宋_GB2312"/>
          <w:sz w:val="32"/>
          <w:szCs w:val="32"/>
        </w:rPr>
        <w:t>依据、监测范围、监测场所、监测方法、监测机构、监测周期、责任部门、异常管理、档案管理要求等</w:t>
      </w:r>
      <w:r>
        <w:rPr>
          <w:rFonts w:hint="eastAsia" w:ascii="仿宋_GB2312" w:eastAsia="仿宋_GB2312"/>
          <w:bCs/>
          <w:sz w:val="32"/>
          <w:szCs w:val="32"/>
        </w:rPr>
        <w:t>。</w:t>
      </w:r>
    </w:p>
    <w:p w14:paraId="505BE8DE">
      <w:pPr>
        <w:spacing w:line="600" w:lineRule="exact"/>
        <w:ind w:firstLine="643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7.3</w:t>
      </w:r>
      <w:r>
        <w:rPr>
          <w:rFonts w:hint="eastAsia" w:ascii="仿宋_GB2312" w:eastAsia="仿宋_GB2312"/>
          <w:bCs/>
          <w:sz w:val="32"/>
          <w:szCs w:val="32"/>
        </w:rPr>
        <w:t>个人剂量监测</w:t>
      </w:r>
      <w:r>
        <w:rPr>
          <w:rFonts w:hint="eastAsia" w:ascii="仿宋_GB2312" w:eastAsia="仿宋_GB2312"/>
          <w:sz w:val="32"/>
          <w:szCs w:val="32"/>
        </w:rPr>
        <w:t>监测对象应明确所有涉及的辐射工作人员岗位和类型，监测周期一般为一季度一次，佩戴要求应明确单剂量计和双剂量计。辐射场所监测应当明确日常和年度监测频次，不同性质的辐射活动场所确定不同的频次，应明确监测活动和监测仪器的责任部门。</w:t>
      </w:r>
    </w:p>
    <w:p w14:paraId="10AFA88D">
      <w:bookmarkStart w:id="4" w:name="_GoBack"/>
      <w:bookmarkEnd w:id="4"/>
    </w:p>
    <w:sectPr>
      <w:pgSz w:w="11906" w:h="16838"/>
      <w:pgMar w:top="1701" w:right="1417" w:bottom="170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altName w:val="方正楷体_GBK"/>
    <w:panose1 w:val="02010600040101010101"/>
    <w:charset w:val="00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156E3"/>
    <w:rsid w:val="5D81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rPr>
      <w:rFonts w:ascii="Calibri" w:hAnsi="Calibri" w:eastAsia="宋体" w:cs="Times New Roman"/>
    </w:rPr>
  </w:style>
  <w:style w:type="paragraph" w:styleId="3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2025-05-27T09:21:00Z</dcterms:created>
  <dc:creator>至夏</dc:creator>
  <cp:lastModifiedBy>至夏</cp:lastModifiedBy>
  <dcterms:modified xsi:type="dcterms:W3CDTF">2025-05-27T09:22:03Z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0D6886ECF2E84F88B14FDC59DEA4E235_11</vt:lpwstr>
  </property>
  <property fmtid="{D5CDD505-2E9C-101B-9397-08002B2CF9AE}" pid="4" name="KSOTemplateDocerSaveRecord">
    <vt:lpwstr>eyJoZGlkIjoiNWZjNGM2NmIwNzk3OWVjMzc5OWMwNTA3N2FmYjI1NTEiLCJ1c2VySWQiOiI5NzU1NDI4MTUifQ==</vt:lpwstr>
  </property>
</Properties>
</file>