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F11B0">
      <w:pPr>
        <w:pStyle w:val="3"/>
        <w:keepNext w:val="0"/>
        <w:keepLines w:val="0"/>
        <w:pageBreakBefore w:val="0"/>
        <w:widowControl w:val="0"/>
        <w:kinsoku/>
        <w:wordWrap/>
        <w:overflowPunct/>
        <w:topLinePunct w:val="0"/>
        <w:autoSpaceDE/>
        <w:autoSpaceDN/>
        <w:bidi w:val="0"/>
        <w:adjustRightInd/>
        <w:snapToGrid/>
        <w:spacing w:after="320" w:afterLines="50" w:line="600" w:lineRule="exact"/>
        <w:jc w:val="center"/>
        <w:textAlignment w:val="auto"/>
        <w:outlineLvl w:val="1"/>
        <w:rPr>
          <w:rFonts w:hint="eastAsia" w:ascii="方正小标宋简体" w:hAnsi="方正小标宋简体" w:eastAsia="方正小标宋简体" w:cs="方正小标宋简体"/>
          <w:color w:val="000000"/>
          <w:sz w:val="36"/>
          <w:szCs w:val="36"/>
        </w:rPr>
      </w:pPr>
      <w:bookmarkStart w:id="0" w:name="_Toc24793291"/>
      <w:bookmarkStart w:id="1" w:name="_Toc1065675995"/>
      <w:bookmarkStart w:id="2" w:name="_Toc8507"/>
      <w:bookmarkStart w:id="3" w:name="_Toc4421"/>
      <w:r>
        <w:rPr>
          <w:rFonts w:hint="eastAsia" w:ascii="方正小标宋简体" w:hAnsi="方正小标宋简体" w:eastAsia="方正小标宋简体" w:cs="方正小标宋简体"/>
          <w:color w:val="000000"/>
          <w:sz w:val="36"/>
          <w:szCs w:val="36"/>
        </w:rPr>
        <w:t>辐射事故应急预案编制格式和内容</w:t>
      </w:r>
      <w:bookmarkEnd w:id="0"/>
      <w:bookmarkEnd w:id="1"/>
      <w:bookmarkEnd w:id="2"/>
      <w:bookmarkEnd w:id="3"/>
    </w:p>
    <w:p w14:paraId="00DA0B7B">
      <w:pPr>
        <w:spacing w:line="600" w:lineRule="exact"/>
        <w:ind w:firstLine="640" w:firstLineChars="200"/>
        <w:rPr>
          <w:rFonts w:hint="eastAsia" w:ascii="黑体" w:hAnsi="黑体" w:eastAsia="黑体" w:cs="黑体"/>
          <w:sz w:val="32"/>
          <w:szCs w:val="32"/>
          <w:shd w:val="clear" w:color="auto" w:fill="FFFFFF"/>
        </w:rPr>
      </w:pPr>
      <w:r>
        <w:rPr>
          <w:rFonts w:hint="eastAsia" w:ascii="黑体" w:hAnsi="黑体" w:eastAsia="黑体" w:cs="黑体"/>
          <w:sz w:val="32"/>
          <w:szCs w:val="32"/>
          <w:shd w:val="clear" w:color="auto" w:fill="FFFFFF"/>
        </w:rPr>
        <w:t>一、</w:t>
      </w:r>
      <w:r>
        <w:rPr>
          <w:rFonts w:hint="eastAsia" w:ascii="黑体" w:hAnsi="黑体" w:eastAsia="黑体" w:cs="黑体"/>
          <w:color w:val="000000"/>
          <w:sz w:val="32"/>
          <w:szCs w:val="32"/>
        </w:rPr>
        <w:t>编制依据</w:t>
      </w:r>
    </w:p>
    <w:p w14:paraId="0BB31663">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rPr>
        <w:t>（一）《中华人民共和国放射性污染防治法》</w:t>
      </w:r>
    </w:p>
    <w:p w14:paraId="6F87AECC">
      <w:pPr>
        <w:pStyle w:val="6"/>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（二）《放射性同位素与射线装置安全和防护条例》</w:t>
      </w:r>
    </w:p>
    <w:p w14:paraId="3301DBEB">
      <w:pPr>
        <w:pStyle w:val="6"/>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（三）《放射性同位素与射线装置安全许可管理办法》</w:t>
      </w:r>
    </w:p>
    <w:p w14:paraId="73DB8AA6">
      <w:pPr>
        <w:pStyle w:val="6"/>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（四）《放射性同位素与射线装置安全和防护管理办法》</w:t>
      </w:r>
    </w:p>
    <w:p w14:paraId="65B95573">
      <w:pPr>
        <w:pStyle w:val="6"/>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（五）《关于发布放射源分类办法的公告》（国家环保总局公告2005年第62号）</w:t>
      </w:r>
    </w:p>
    <w:p w14:paraId="375A282F">
      <w:pPr>
        <w:pStyle w:val="6"/>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（六）《关于发布《射线装置分类》的公告》（环境保护部、国家卫生计生委公告2017年第66号）</w:t>
      </w:r>
    </w:p>
    <w:p w14:paraId="6F6C71D0">
      <w:pPr>
        <w:pStyle w:val="6"/>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（七）《青海省辐射事故应急预案》（青政办函〔2021〕201号）</w:t>
      </w:r>
    </w:p>
    <w:p w14:paraId="3F08895A">
      <w:pPr>
        <w:pStyle w:val="2"/>
        <w:spacing w:line="600" w:lineRule="exact"/>
        <w:ind w:firstLine="640" w:firstLineChars="200"/>
        <w:rPr>
          <w:rFonts w:hint="eastAsia" w:ascii="黑体" w:hAnsi="黑体" w:eastAsia="黑体" w:cs="黑体"/>
          <w:sz w:val="32"/>
          <w:szCs w:val="32"/>
          <w:shd w:val="clear" w:color="auto" w:fill="FFFFFF"/>
        </w:rPr>
      </w:pPr>
      <w:r>
        <w:rPr>
          <w:rFonts w:hint="eastAsia" w:ascii="黑体" w:hAnsi="黑体" w:eastAsia="黑体" w:cs="黑体"/>
          <w:sz w:val="32"/>
          <w:szCs w:val="32"/>
          <w:shd w:val="clear" w:color="auto" w:fill="FFFFFF"/>
        </w:rPr>
        <w:t>二、编制要求</w:t>
      </w:r>
    </w:p>
    <w:p w14:paraId="3F2F713E">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1、辐射事故应急预案应是核技术利用单位独立、完整、正式的文件，要求文字精炼、重点突出，合理采用图表表述需要说明的问题。</w:t>
      </w:r>
    </w:p>
    <w:p w14:paraId="4F3A8469">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2、辐射事故应急预案的编制要紧密结合核技术利用单位的实际情况，应具有可操作性，与本单位核技术利用活动种类、范围相对应，要避免提交的应急预案材料过于复杂或没有针对性。</w:t>
      </w:r>
    </w:p>
    <w:p w14:paraId="08D0C2B2">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3、辐射事故应急预案不应该脱离其他预案存在，应与地方政府、上级主管部门的应急预案保持合理衔接。</w:t>
      </w:r>
    </w:p>
    <w:p w14:paraId="0B8538A0">
      <w:pPr>
        <w:spacing w:line="60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4、核技术利用单位可能发生的辐射事故类型、面临的风险大小不同，应急准备和管理要求不同，编制辐射事故应急预案应作相应的调整。</w:t>
      </w:r>
    </w:p>
    <w:p w14:paraId="2006F67F">
      <w:pPr>
        <w:pStyle w:val="2"/>
        <w:spacing w:line="600" w:lineRule="exact"/>
        <w:ind w:firstLine="640" w:firstLineChars="200"/>
        <w:rPr>
          <w:rFonts w:hint="eastAsia" w:ascii="黑体" w:hAnsi="黑体" w:eastAsia="黑体" w:cs="黑体"/>
          <w:sz w:val="32"/>
          <w:szCs w:val="32"/>
          <w:shd w:val="clear" w:color="auto" w:fill="FFFFFF"/>
        </w:rPr>
      </w:pPr>
      <w:r>
        <w:rPr>
          <w:rFonts w:hint="eastAsia" w:ascii="黑体" w:hAnsi="黑体" w:eastAsia="黑体" w:cs="黑体"/>
          <w:sz w:val="32"/>
          <w:szCs w:val="32"/>
          <w:shd w:val="clear" w:color="auto" w:fill="FFFFFF"/>
        </w:rPr>
        <w:t>三、应急预案的内容</w:t>
      </w:r>
    </w:p>
    <w:p w14:paraId="48F4512D">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辐射事故应急预案的主要内容包括但不限于以下部分：总则、核技术利用单位概况、可能发生的辐射事故及分级、应急组织机构及职责、应急报警信息、应急响应、应急状态终止和恢复措施、应急能力维持、附件等。</w:t>
      </w:r>
    </w:p>
    <w:p w14:paraId="2F05D4D2">
      <w:pPr>
        <w:spacing w:line="600" w:lineRule="exact"/>
        <w:ind w:firstLine="640" w:firstLineChars="200"/>
        <w:rPr>
          <w:rFonts w:hint="eastAsia"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1、总则</w:t>
      </w:r>
    </w:p>
    <w:p w14:paraId="565C6D7A">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1.1编制目的</w:t>
      </w:r>
    </w:p>
    <w:p w14:paraId="4E3FCF37">
      <w:pPr>
        <w:spacing w:line="60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本单位辐射事故应急预案的目的。如：为了做好本单位辐射事故应急准备和响应工作，确保在发生辐射事故或者可能引发辐射事故的运行故障时，依据本预案，结合实际情况做出正确判断，确认辐射事故等级，及时采取必要和适当的响应行动，并按照本预案程序向当地生态环境主管部门报告。</w:t>
      </w:r>
    </w:p>
    <w:p w14:paraId="30E6BF44">
      <w:pPr>
        <w:spacing w:line="600" w:lineRule="exact"/>
        <w:ind w:firstLine="643" w:firstLineChars="200"/>
        <w:rPr>
          <w:rFonts w:hint="eastAsia"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1.2编制依据</w:t>
      </w:r>
    </w:p>
    <w:p w14:paraId="45AD86BD">
      <w:pPr>
        <w:spacing w:line="600" w:lineRule="exact"/>
        <w:ind w:firstLine="640" w:firstLineChars="200"/>
      </w:pPr>
      <w:r>
        <w:rPr>
          <w:rFonts w:hint="eastAsia" w:ascii="仿宋_GB2312" w:hAnsi="仿宋_GB2312" w:eastAsia="仿宋_GB2312" w:cs="仿宋_GB2312"/>
          <w:sz w:val="32"/>
          <w:szCs w:val="32"/>
          <w:shd w:val="clear" w:color="auto" w:fill="FFFFFF"/>
        </w:rPr>
        <w:t>包括</w:t>
      </w:r>
      <w:r>
        <w:rPr>
          <w:rFonts w:hint="eastAsia" w:ascii="仿宋_GB2312" w:hAnsi="仿宋_GB2312" w:eastAsia="仿宋_GB2312" w:cs="仿宋_GB2312"/>
          <w:sz w:val="32"/>
          <w:szCs w:val="32"/>
        </w:rPr>
        <w:t>《中华人民共和国放射性污染防治法》、《放射性同位素与射线装置安全和防护条例》、《放射性同位素与射线装置安全和防护管理办法》、《青海省辐射事故应急预案》、单位所在地市（州）、县（区、行委）辐射事故应急预案、行业主管部门应急预案等。</w:t>
      </w:r>
    </w:p>
    <w:p w14:paraId="70CCA0ED">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1.3应急原则</w:t>
      </w:r>
    </w:p>
    <w:p w14:paraId="3A83C983">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以人为本，预防为主，预防与应急相结合；统一领导，分类管理；属地管辖，分级响应；控制危险源，保护现场；迅速报告，科学施救；主动抢救，生命第一。应根据实际情况确定应急原则。</w:t>
      </w:r>
    </w:p>
    <w:p w14:paraId="1511708F">
      <w:pPr>
        <w:spacing w:line="600" w:lineRule="exact"/>
        <w:ind w:firstLine="643"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1.4适用范围</w:t>
      </w:r>
    </w:p>
    <w:p w14:paraId="2AE6471E">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应急预案适用于本单位核技术利用活动中发生的辐射事故或者可能引发辐射事故的运行故障。主要包括放射源（如用于探伤机，后装治疗机、血液辐照仪等医疗装置，料位计、液位计、密度计、测厚仪、放射性测井等同位素仪表）和射线装置（如直线加速器、血管造影仪等医用Ⅱ类射线装置，工业用X探伤机等非医用Ⅱ类射线装置，医用X射线计算机断层扫描装置、医用诊断X射线装置、口腔X射线装置等医用</w:t>
      </w:r>
      <w:r>
        <w:rPr>
          <w:rFonts w:hint="eastAsia" w:ascii="宋体" w:hAnsi="宋体" w:cs="宋体"/>
          <w:sz w:val="32"/>
          <w:szCs w:val="32"/>
          <w:shd w:val="clear" w:color="auto" w:fill="FFFFFF"/>
        </w:rPr>
        <w:t>Ⅲ</w:t>
      </w:r>
      <w:r>
        <w:rPr>
          <w:rFonts w:hint="eastAsia" w:ascii="仿宋_GB2312" w:hAnsi="仿宋_GB2312" w:eastAsia="仿宋_GB2312" w:cs="仿宋_GB2312"/>
          <w:sz w:val="32"/>
          <w:szCs w:val="32"/>
          <w:shd w:val="clear" w:color="auto" w:fill="FFFFFF"/>
        </w:rPr>
        <w:t>类射线装置，X射线衍射仪、X射线荧光仪等非医用</w:t>
      </w:r>
      <w:r>
        <w:rPr>
          <w:rFonts w:hint="eastAsia" w:ascii="宋体" w:hAnsi="宋体" w:cs="宋体"/>
          <w:sz w:val="32"/>
          <w:szCs w:val="32"/>
          <w:shd w:val="clear" w:color="auto" w:fill="FFFFFF"/>
        </w:rPr>
        <w:t>Ⅲ</w:t>
      </w:r>
      <w:r>
        <w:rPr>
          <w:rFonts w:hint="eastAsia" w:ascii="仿宋_GB2312" w:hAnsi="仿宋_GB2312" w:eastAsia="仿宋_GB2312" w:cs="仿宋_GB2312"/>
          <w:sz w:val="32"/>
          <w:szCs w:val="32"/>
          <w:shd w:val="clear" w:color="auto" w:fill="FFFFFF"/>
        </w:rPr>
        <w:t>类射线装置）发生辐射事故（放射源丢失、被盗、失控，或者放射性物质和射线装置失控导致人员受到意外的异常照射，或者造成环境放射性污染的事件）时的应对工作，以及使用放射源仪表的生产装置（涉源装置）发生安全生产事故或受重大自然灾害影响导致火灾、爆炸时，针对可能发生辐射事故时的应对工作。</w:t>
      </w:r>
    </w:p>
    <w:p w14:paraId="690A5EFF">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1.5应急预案衔接</w:t>
      </w:r>
    </w:p>
    <w:p w14:paraId="368B2F5A">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应明确应急预案与青海省辐射事故应急预案、</w:t>
      </w:r>
      <w:r>
        <w:rPr>
          <w:rFonts w:hint="eastAsia" w:ascii="仿宋_GB2312" w:hAnsi="仿宋_GB2312" w:eastAsia="仿宋_GB2312" w:cs="仿宋_GB2312"/>
          <w:sz w:val="32"/>
          <w:szCs w:val="32"/>
        </w:rPr>
        <w:t>单位所在地市（州）、县（区、行委）辐射事故应急预案、行业主管部门应急预案的衔接关系；对于涉及多种行业门类的综合性单位，还应明确具体辐射事故应急预案与本单位总体应急预案的关系与衔接；可采用图表形式表述。</w:t>
      </w:r>
    </w:p>
    <w:p w14:paraId="60CC135E">
      <w:pPr>
        <w:spacing w:line="600" w:lineRule="exact"/>
        <w:ind w:firstLine="640" w:firstLineChars="200"/>
        <w:rPr>
          <w:rFonts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2、核技术利用单位概况</w:t>
      </w:r>
    </w:p>
    <w:p w14:paraId="48A3EA8E">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概述本单位核技术利用项目基本情况，包括放射源、非密封放射性物质、射线装置，必要时附平面布局图进行说明。</w:t>
      </w:r>
    </w:p>
    <w:p w14:paraId="00EC6923">
      <w:pPr>
        <w:spacing w:line="600" w:lineRule="exact"/>
        <w:ind w:firstLine="640" w:firstLineChars="200"/>
        <w:rPr>
          <w:rFonts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3、可能发生的辐射事故、分级和风险分析</w:t>
      </w:r>
    </w:p>
    <w:p w14:paraId="342FD9E3">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根据《放射性同位素与射线装置安全和防护条例》第40条规定的辐射事故分级原则，结合本单位核技术利用项目的实际情况，分析可能发生的辐射事故类型或可能引发辐射事故的故障情况，描述可能发生事故或故障的场景、部位、原因及可能产生的影响等，开展事故风险分析，对可能发生的事故进行初步分级。</w:t>
      </w:r>
    </w:p>
    <w:p w14:paraId="27B2C52E">
      <w:pPr>
        <w:spacing w:line="600" w:lineRule="exact"/>
        <w:ind w:firstLine="640" w:firstLineChars="200"/>
        <w:rPr>
          <w:rFonts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4、应急组织机构及职责</w:t>
      </w:r>
    </w:p>
    <w:p w14:paraId="70E34CD2">
      <w:pPr>
        <w:pStyle w:val="2"/>
        <w:spacing w:line="60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4.1</w:t>
      </w:r>
      <w:r>
        <w:rPr>
          <w:rFonts w:hint="eastAsia" w:ascii="仿宋_GB2312" w:hAnsi="仿宋_GB2312" w:eastAsia="仿宋_GB2312" w:cs="仿宋_GB2312"/>
          <w:sz w:val="32"/>
          <w:szCs w:val="32"/>
          <w:shd w:val="clear" w:color="auto" w:fill="FFFFFF"/>
        </w:rPr>
        <w:t>应明确本单位的应急组织机构及体系，应急组织机构应当置于核技术利用单位统一的领导、管理和指挥之下。</w:t>
      </w:r>
    </w:p>
    <w:p w14:paraId="45930341">
      <w:pPr>
        <w:spacing w:line="60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4.2</w:t>
      </w:r>
      <w:r>
        <w:rPr>
          <w:rFonts w:hint="eastAsia" w:ascii="仿宋_GB2312" w:hAnsi="仿宋_GB2312" w:eastAsia="仿宋_GB2312" w:cs="仿宋_GB2312"/>
          <w:sz w:val="32"/>
          <w:szCs w:val="32"/>
          <w:shd w:val="clear" w:color="auto" w:fill="FFFFFF"/>
        </w:rPr>
        <w:t>应急组织机构通常由应急领导小组和若干应急响应小组构成。</w:t>
      </w:r>
    </w:p>
    <w:p w14:paraId="405B6251">
      <w:pPr>
        <w:spacing w:line="600" w:lineRule="exact"/>
        <w:ind w:firstLine="643"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4.3</w:t>
      </w:r>
      <w:r>
        <w:rPr>
          <w:rFonts w:hint="eastAsia" w:ascii="仿宋_GB2312" w:hAnsi="仿宋_GB2312" w:eastAsia="仿宋_GB2312" w:cs="仿宋_GB2312"/>
          <w:sz w:val="32"/>
          <w:szCs w:val="32"/>
          <w:shd w:val="clear" w:color="auto" w:fill="FFFFFF"/>
        </w:rPr>
        <w:t>应急领导小组应明确岗位和相应职责，组长及其替代人；应急响应小组根据事故类型和应急工作需要设置，应明确构成单位（部门）、人员（包括替代人员）及相应岗位的工作任务和职责；应列明所有应急人员的应急联系方式。</w:t>
      </w:r>
    </w:p>
    <w:p w14:paraId="7AC8220F">
      <w:pPr>
        <w:spacing w:line="600" w:lineRule="exact"/>
        <w:ind w:firstLine="640" w:firstLineChars="200"/>
        <w:rPr>
          <w:rFonts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5、应急响应</w:t>
      </w:r>
    </w:p>
    <w:p w14:paraId="1CB78539">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5.1启动</w:t>
      </w:r>
    </w:p>
    <w:p w14:paraId="18C8B1E6">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当发生辐射事故或可能引发辐射事故的运行故障时，值班人员应向本单位应急领导小组负责人报告，应急领导小组依据应急预案相关内容对事故或故障进行分析判断，并启动相应的应急响应小组和响应行动。</w:t>
      </w:r>
    </w:p>
    <w:p w14:paraId="37C0C315">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5.2报告</w:t>
      </w:r>
    </w:p>
    <w:p w14:paraId="08346588">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在发生辐射事故或可能引发辐射事故的运行故障两小时内向当地生态环境主管部门书面报告；发生放射源丢失、被盗的，还应同时向当地公安部门报告；造成或可能造成人员超剂量照射的，还应同时向当地卫生行政部门报告；制定本单位辐射事故报告程序，并列明当地生态环境主管部门、公安部门、卫生行政部门的应急值班电话等信息。</w:t>
      </w:r>
    </w:p>
    <w:p w14:paraId="42B09134">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5.3响应行动</w:t>
      </w:r>
    </w:p>
    <w:p w14:paraId="124851E4">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对应可能发生的辐射事故、分级和风险分析，针对本单位每种可能发生的事故或运行故障，制定拟采取的应急行动或措施。明确当发生事故或故障时，须配合当地人民政府和上级生态环境主管部门做好具体的处置工作以及可能采取的临时控制措施。针对重要岗位，可进一步细化响应行动，编制单独的现场处置行动方案或实施程序，作为应急预案的附件，在发生事故或故障时指导本单位迅速有效地采取相应措施。</w:t>
      </w:r>
    </w:p>
    <w:p w14:paraId="5F53E53A">
      <w:pPr>
        <w:spacing w:line="600" w:lineRule="exact"/>
        <w:ind w:firstLine="640" w:firstLineChars="200"/>
        <w:rPr>
          <w:rFonts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6、应急状态终止和恢复措施</w:t>
      </w:r>
    </w:p>
    <w:p w14:paraId="77230D7D">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6.1应急状态终止条件</w:t>
      </w:r>
    </w:p>
    <w:p w14:paraId="72408995">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满足下列条件之一的，核技术利用单位应急状态即可终止：</w:t>
      </w:r>
    </w:p>
    <w:p w14:paraId="6DF72AAC">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（1）辐射污染源的泄露或释放已降至规定限值以内；</w:t>
      </w:r>
    </w:p>
    <w:p w14:paraId="335FE486">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（2）事故所造成的危害已被彻底消除或可控；</w:t>
      </w:r>
    </w:p>
    <w:p w14:paraId="2E66D836">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（3）政府或上级生态环境主管部门宣布应急状态终止的。</w:t>
      </w:r>
    </w:p>
    <w:p w14:paraId="421135A7">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6.2应急状态终止后的行动</w:t>
      </w:r>
    </w:p>
    <w:p w14:paraId="64573D2B">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终止后的行动一般指经应急领导小组负责人批准，进入应急总结及事故后恢复工作，指挥各应急响应小组开展下列工作：</w:t>
      </w:r>
    </w:p>
    <w:p w14:paraId="5DEDF512">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（1）查阅并汇总所有应急工作日志、记录、书面信息等；</w:t>
      </w:r>
    </w:p>
    <w:p w14:paraId="3E4C9D68">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（2）评价事故造成的影响，查找原因，总结经验教训，防止类似事故再发生；</w:t>
      </w:r>
    </w:p>
    <w:p w14:paraId="13E7E7E1">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（3）评价应急期间所采取的行动；</w:t>
      </w:r>
    </w:p>
    <w:p w14:paraId="14445E5B">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（4）根据实践经验，及时对应急预案及相关实施程序进行修订。</w:t>
      </w:r>
    </w:p>
    <w:p w14:paraId="4790AFA3">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6.3总结报告</w:t>
      </w:r>
    </w:p>
    <w:p w14:paraId="2C81931F">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形成总结报告，报送给当地的生态环境主管部门。</w:t>
      </w:r>
    </w:p>
    <w:p w14:paraId="232DB0C1">
      <w:pPr>
        <w:spacing w:line="600" w:lineRule="exact"/>
        <w:ind w:firstLine="640" w:firstLineChars="200"/>
        <w:rPr>
          <w:rFonts w:hint="eastAsia" w:ascii="楷体_GB2312" w:hAnsi="楷体_GB2312" w:eastAsia="楷体_GB2312" w:cs="楷体_GB2312"/>
          <w:sz w:val="32"/>
          <w:szCs w:val="32"/>
          <w:shd w:val="clear" w:color="auto" w:fill="FFFFFF"/>
        </w:rPr>
      </w:pPr>
      <w:r>
        <w:rPr>
          <w:rFonts w:hint="eastAsia" w:ascii="楷体_GB2312" w:hAnsi="楷体_GB2312" w:eastAsia="楷体_GB2312" w:cs="楷体_GB2312"/>
          <w:sz w:val="32"/>
          <w:szCs w:val="32"/>
          <w:shd w:val="clear" w:color="auto" w:fill="FFFFFF"/>
        </w:rPr>
        <w:t>7、应急能力维持</w:t>
      </w:r>
    </w:p>
    <w:p w14:paraId="3B6231CE">
      <w:pPr>
        <w:spacing w:line="600" w:lineRule="exact"/>
        <w:ind w:firstLine="643"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7.1应急培训</w:t>
      </w:r>
    </w:p>
    <w:p w14:paraId="5A17068E">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应明确对本单位人员开展应急预案宣贯培训，使其熟悉和掌握应急预案基本内容，具有完成本预案应急任务的基本知识、专业技能和响应能力，制定应急培训计划。</w:t>
      </w:r>
    </w:p>
    <w:p w14:paraId="4E4DBBEA">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7.2应急演练</w:t>
      </w:r>
    </w:p>
    <w:p w14:paraId="1FE8B2ED">
      <w:pPr>
        <w:spacing w:line="60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明确本单位应急演练频次、演练评估、总结等内容，制定应急演练计划。应急演练分为综合演练和专项演练，其中，综合演练是为了检验、巩固和提高应急组织体系内各应急组织之间的相互协调和配合，检查应急预案和程序的有效性而举行的演练；专项演练是为了检验、巩固和提高应急组织或应急响应人员执行某一特定应急响应技能而进行的演练。</w:t>
      </w:r>
    </w:p>
    <w:p w14:paraId="697DA82D">
      <w:pPr>
        <w:spacing w:line="600" w:lineRule="exact"/>
        <w:ind w:firstLine="643" w:firstLineChars="200"/>
        <w:rPr>
          <w:rFonts w:ascii="仿宋_GB2312" w:hAnsi="仿宋_GB2312" w:eastAsia="仿宋_GB2312" w:cs="仿宋_GB2312"/>
          <w:b/>
          <w:bCs/>
          <w:sz w:val="32"/>
          <w:szCs w:val="32"/>
          <w:shd w:val="clear" w:color="auto" w:fill="FFFFFF"/>
        </w:rPr>
      </w:pPr>
      <w:r>
        <w:rPr>
          <w:rFonts w:hint="eastAsia" w:ascii="仿宋_GB2312" w:hAnsi="仿宋_GB2312" w:eastAsia="仿宋_GB2312" w:cs="仿宋_GB2312"/>
          <w:b/>
          <w:bCs/>
          <w:sz w:val="32"/>
          <w:szCs w:val="32"/>
          <w:shd w:val="clear" w:color="auto" w:fill="FFFFFF"/>
        </w:rPr>
        <w:t>7.3应急物资装备保障</w:t>
      </w:r>
    </w:p>
    <w:p w14:paraId="7448397C">
      <w:pPr>
        <w:spacing w:line="600" w:lineRule="exact"/>
        <w:ind w:firstLine="640"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结合辐射事故类型及应急响应工作需要，配备一定数量必需的应急物资及相关器材，包括应急办公用品、应急通讯器材、应急处理工具、辐射检测设备、个人防护用品、应急后勤保障用品等，定期检验物资装备的有效性和可用性；应制定应急物资装备清单，明确应急物资和装备的类型、数量、性能、有效日期、存放位置、运输及使用条件、管理责任人及联系方式等内容。</w:t>
      </w:r>
    </w:p>
    <w:p w14:paraId="5742F504">
      <w:pPr>
        <w:spacing w:line="600" w:lineRule="exact"/>
        <w:ind w:firstLine="643"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7.4应急预案和执行程序的修订</w:t>
      </w:r>
    </w:p>
    <w:p w14:paraId="1655173B">
      <w:pPr>
        <w:spacing w:line="60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应急预案原则上每五年修订一次，当适用的法规标准发生变化，核技术利用种类和范围发生变化，应急组织机构相关负责人发生变化，应急演练结束后预案在演练中存在不足和缺陷，本单位或同行业发生事故后应急预案暴露出同类型不足和缺陷时，应急预案和执行程序需及时更新。</w:t>
      </w:r>
    </w:p>
    <w:p w14:paraId="1CF10DBA">
      <w:bookmarkStart w:id="4" w:name="_GoBack"/>
      <w:bookmarkEnd w:id="4"/>
    </w:p>
    <w:sectPr>
      <w:pgSz w:w="11906" w:h="16838"/>
      <w:pgMar w:top="1701" w:right="1417" w:bottom="1701"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8E13E0"/>
    <w:rsid w:val="4C8E13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BodyText"/>
    <w:basedOn w:val="1"/>
    <w:next w:val="1"/>
    <w:qFormat/>
    <w:uiPriority w:val="0"/>
    <w:rPr>
      <w:rFonts w:ascii="Calibri" w:hAnsi="Calibri" w:eastAsia="宋体" w:cs="Times New Roman"/>
    </w:rPr>
  </w:style>
  <w:style w:type="paragraph" w:styleId="3">
    <w:name w:val="Normal Indent"/>
    <w:basedOn w:val="1"/>
    <w:qFormat/>
    <w:uiPriority w:val="0"/>
    <w:pPr>
      <w:ind w:firstLine="420" w:firstLineChars="200"/>
    </w:pPr>
  </w:style>
  <w:style w:type="paragraph" w:styleId="6">
    <w:name w:val="List Paragraph"/>
    <w:basedOn w:val="1"/>
    <w:qFormat/>
    <w:uiPriority w:val="99"/>
    <w:pPr>
      <w:ind w:firstLine="420" w:firstLineChars="200"/>
    </w:pPr>
    <w:rPr>
      <w:rFonts w:ascii="Calibri" w:hAnsi="Calibri" w:eastAsia="宋体"/>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2025-05-27T09:22:00Z</dcterms:created>
  <dc:creator>至夏</dc:creator>
  <cp:lastModifiedBy>至夏</cp:lastModifiedBy>
  <dcterms:modified xsi:type="dcterms:W3CDTF">2025-05-27T09:22:26Z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9D8C5F18F0C34AACB6E68CB14A4434C9_11</vt:lpwstr>
  </property>
  <property fmtid="{D5CDD505-2E9C-101B-9397-08002B2CF9AE}" pid="4" name="KSOTemplateDocerSaveRecord">
    <vt:lpwstr>eyJoZGlkIjoiNWZjNGM2NmIwNzk3OWVjMzc5OWMwNTA3N2FmYjI1NTEiLCJ1c2VySWQiOiI5NzU1NDI4MTUifQ==</vt:lpwstr>
  </property>
</Properties>
</file>